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1" w:type="dxa"/>
        <w:tblInd w:w="-1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00" w:firstRow="0" w:lastRow="0" w:firstColumn="0" w:lastColumn="0" w:noHBand="0" w:noVBand="1"/>
      </w:tblPr>
      <w:tblGrid>
        <w:gridCol w:w="2093"/>
        <w:gridCol w:w="8538"/>
      </w:tblGrid>
      <w:tr w:rsidR="00522C8B" w:rsidRPr="00390F48" w14:paraId="0C2496C7" w14:textId="77777777" w:rsidTr="003B4954">
        <w:tc>
          <w:tcPr>
            <w:tcW w:w="2093" w:type="dxa"/>
            <w:shd w:val="clear" w:color="auto" w:fill="auto"/>
          </w:tcPr>
          <w:p w14:paraId="07475A89" w14:textId="77777777" w:rsidR="00522C8B" w:rsidRPr="00390F48" w:rsidRDefault="00522C8B" w:rsidP="00484854">
            <w:pPr>
              <w:spacing w:after="0" w:line="240" w:lineRule="auto"/>
              <w:jc w:val="center"/>
              <w:rPr>
                <w:rFonts w:ascii="Calibri" w:hAnsi="Calibri" w:cs="Calibri"/>
                <w:b/>
                <w:bCs/>
              </w:rPr>
            </w:pPr>
            <w:bookmarkStart w:id="0" w:name="_8vmm2jdzr2zf" w:colFirst="0" w:colLast="0"/>
            <w:bookmarkEnd w:id="0"/>
            <w:r w:rsidRPr="00390F48">
              <w:rPr>
                <w:rFonts w:cs="Calibri"/>
                <w:noProof/>
                <w:lang w:eastAsia="en-GB"/>
              </w:rPr>
              <w:drawing>
                <wp:inline distT="0" distB="0" distL="0" distR="0" wp14:anchorId="72B8FF32" wp14:editId="3E231621">
                  <wp:extent cx="1038428" cy="581025"/>
                  <wp:effectExtent l="19050" t="19050" r="28575" b="9525"/>
                  <wp:docPr id="2" name="Picture 2" descr="Image result for gov.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ov.u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9982" cy="587490"/>
                          </a:xfrm>
                          <a:prstGeom prst="rect">
                            <a:avLst/>
                          </a:prstGeom>
                          <a:noFill/>
                          <a:ln w="15875" cmpd="sng">
                            <a:solidFill>
                              <a:srgbClr val="FFFFFF"/>
                            </a:solidFill>
                            <a:miter lim="800000"/>
                            <a:headEnd/>
                            <a:tailEnd/>
                          </a:ln>
                          <a:effectLst/>
                        </pic:spPr>
                      </pic:pic>
                    </a:graphicData>
                  </a:graphic>
                </wp:inline>
              </w:drawing>
            </w:r>
          </w:p>
        </w:tc>
        <w:tc>
          <w:tcPr>
            <w:tcW w:w="8538" w:type="dxa"/>
            <w:shd w:val="clear" w:color="auto" w:fill="auto"/>
          </w:tcPr>
          <w:p w14:paraId="5768E7A0" w14:textId="77777777" w:rsidR="00522C8B" w:rsidRPr="003B4954" w:rsidRDefault="00522C8B" w:rsidP="00484854">
            <w:pPr>
              <w:pStyle w:val="Title"/>
              <w:spacing w:before="0" w:after="0"/>
              <w:jc w:val="center"/>
              <w:rPr>
                <w:rFonts w:asciiTheme="minorHAnsi" w:hAnsiTheme="minorHAnsi" w:cstheme="minorHAnsi"/>
                <w:b/>
                <w:color w:val="auto"/>
                <w:sz w:val="28"/>
                <w:szCs w:val="28"/>
              </w:rPr>
            </w:pPr>
            <w:bookmarkStart w:id="1" w:name="_5u1skrwby9s2" w:colFirst="0" w:colLast="0"/>
            <w:bookmarkEnd w:id="1"/>
            <w:r w:rsidRPr="003B4954">
              <w:rPr>
                <w:rFonts w:asciiTheme="minorHAnsi" w:hAnsiTheme="minorHAnsi" w:cstheme="minorHAnsi"/>
                <w:b/>
                <w:color w:val="auto"/>
                <w:sz w:val="28"/>
                <w:szCs w:val="28"/>
                <w:lang w:val="en-GB"/>
              </w:rPr>
              <w:t>Nunburnholme with Kilnwick Percy Parish Council (PC)</w:t>
            </w:r>
          </w:p>
          <w:p w14:paraId="3C3850E8" w14:textId="2812A2C9" w:rsidR="00522C8B" w:rsidRPr="003B4954" w:rsidRDefault="00522C8B" w:rsidP="00484854">
            <w:pPr>
              <w:pStyle w:val="Title"/>
              <w:spacing w:before="0" w:after="0"/>
              <w:jc w:val="center"/>
              <w:rPr>
                <w:rFonts w:asciiTheme="minorHAnsi" w:hAnsiTheme="minorHAnsi" w:cstheme="minorHAnsi"/>
                <w:b/>
                <w:color w:val="auto"/>
                <w:sz w:val="28"/>
                <w:szCs w:val="28"/>
                <w:lang w:val="en-GB"/>
              </w:rPr>
            </w:pPr>
            <w:r w:rsidRPr="003B4954">
              <w:rPr>
                <w:rFonts w:asciiTheme="minorHAnsi" w:hAnsiTheme="minorHAnsi" w:cstheme="minorHAnsi"/>
                <w:b/>
                <w:color w:val="auto"/>
                <w:sz w:val="28"/>
                <w:szCs w:val="28"/>
                <w:lang w:val="en-GB"/>
              </w:rPr>
              <w:t xml:space="preserve">Planning Applications – Process (as </w:t>
            </w:r>
            <w:proofErr w:type="gramStart"/>
            <w:r w:rsidRPr="003B4954">
              <w:rPr>
                <w:rFonts w:asciiTheme="minorHAnsi" w:hAnsiTheme="minorHAnsi" w:cstheme="minorHAnsi"/>
                <w:b/>
                <w:color w:val="auto"/>
                <w:sz w:val="28"/>
                <w:szCs w:val="28"/>
                <w:lang w:val="en-GB"/>
              </w:rPr>
              <w:t>at</w:t>
            </w:r>
            <w:proofErr w:type="gramEnd"/>
            <w:r w:rsidRPr="003B4954">
              <w:rPr>
                <w:rFonts w:asciiTheme="minorHAnsi" w:hAnsiTheme="minorHAnsi" w:cstheme="minorHAnsi"/>
                <w:b/>
                <w:color w:val="auto"/>
                <w:sz w:val="28"/>
                <w:szCs w:val="28"/>
                <w:lang w:val="en-GB"/>
              </w:rPr>
              <w:t xml:space="preserve"> October 2022)</w:t>
            </w:r>
          </w:p>
          <w:p w14:paraId="5CBE508A" w14:textId="6B9DF090" w:rsidR="003B4954" w:rsidRPr="003B4954" w:rsidRDefault="003B4954" w:rsidP="00484854">
            <w:pPr>
              <w:spacing w:after="0" w:line="240" w:lineRule="auto"/>
              <w:jc w:val="center"/>
            </w:pPr>
            <w:r w:rsidRPr="003B4954">
              <w:rPr>
                <w:rFonts w:cstheme="minorHAnsi"/>
                <w:b/>
                <w:sz w:val="28"/>
                <w:szCs w:val="28"/>
              </w:rPr>
              <w:t xml:space="preserve">Guidance for Applicants </w:t>
            </w:r>
            <w:r w:rsidRPr="003B4954">
              <w:rPr>
                <w:rFonts w:cstheme="minorHAnsi"/>
                <w:b/>
                <w:sz w:val="28"/>
                <w:szCs w:val="28"/>
                <w:u w:val="single"/>
              </w:rPr>
              <w:t>and</w:t>
            </w:r>
            <w:r w:rsidRPr="003B4954">
              <w:rPr>
                <w:rFonts w:cstheme="minorHAnsi"/>
                <w:b/>
                <w:sz w:val="28"/>
                <w:szCs w:val="28"/>
              </w:rPr>
              <w:t xml:space="preserve"> Councillors</w:t>
            </w:r>
          </w:p>
        </w:tc>
      </w:tr>
    </w:tbl>
    <w:p w14:paraId="3A94EA8B" w14:textId="6536F1AB" w:rsidR="00522C8B" w:rsidRPr="00E11DC5" w:rsidRDefault="00522C8B" w:rsidP="00337F2B">
      <w:pPr>
        <w:spacing w:after="0" w:line="240" w:lineRule="auto"/>
        <w:rPr>
          <w:rFonts w:cstheme="minorHAnsi"/>
          <w:sz w:val="20"/>
          <w:szCs w:val="20"/>
        </w:rPr>
      </w:pPr>
    </w:p>
    <w:p w14:paraId="07E21B7F" w14:textId="1114EA32" w:rsidR="0076307C" w:rsidRPr="00611577" w:rsidRDefault="0076307C" w:rsidP="00337F2B">
      <w:pPr>
        <w:spacing w:after="0" w:line="240" w:lineRule="auto"/>
        <w:rPr>
          <w:rFonts w:cstheme="minorHAnsi"/>
        </w:rPr>
      </w:pPr>
      <w:r w:rsidRPr="00611577">
        <w:rPr>
          <w:rFonts w:cstheme="minorHAnsi"/>
        </w:rPr>
        <w:t>References:</w:t>
      </w:r>
    </w:p>
    <w:p w14:paraId="6A693E6D" w14:textId="6AAB07AB" w:rsidR="0076307C" w:rsidRPr="00611577" w:rsidRDefault="0076307C" w:rsidP="0076307C">
      <w:pPr>
        <w:pStyle w:val="ListParagraph"/>
        <w:numPr>
          <w:ilvl w:val="0"/>
          <w:numId w:val="1"/>
        </w:numPr>
        <w:spacing w:after="0" w:line="240" w:lineRule="auto"/>
        <w:rPr>
          <w:rFonts w:cstheme="minorHAnsi"/>
        </w:rPr>
      </w:pPr>
      <w:r w:rsidRPr="00611577">
        <w:rPr>
          <w:rFonts w:cstheme="minorHAnsi"/>
        </w:rPr>
        <w:t>National Planning Policy Framework.</w:t>
      </w:r>
    </w:p>
    <w:p w14:paraId="3E5227BA" w14:textId="25D0B5A7" w:rsidR="0076307C" w:rsidRPr="00611577" w:rsidRDefault="0076307C" w:rsidP="0076307C">
      <w:pPr>
        <w:pStyle w:val="ListParagraph"/>
        <w:numPr>
          <w:ilvl w:val="0"/>
          <w:numId w:val="1"/>
        </w:numPr>
        <w:spacing w:after="0" w:line="240" w:lineRule="auto"/>
        <w:rPr>
          <w:rFonts w:cstheme="minorHAnsi"/>
        </w:rPr>
      </w:pPr>
      <w:r w:rsidRPr="00611577">
        <w:rPr>
          <w:rFonts w:cstheme="minorHAnsi"/>
        </w:rPr>
        <w:t>East Riding Local Plan</w:t>
      </w:r>
      <w:r w:rsidR="00B810C5" w:rsidRPr="00611577">
        <w:rPr>
          <w:rFonts w:cstheme="minorHAnsi"/>
        </w:rPr>
        <w:t xml:space="preserve"> (Particularly </w:t>
      </w:r>
      <w:r w:rsidR="00BB4923" w:rsidRPr="00611577">
        <w:rPr>
          <w:rFonts w:cstheme="minorHAnsi"/>
        </w:rPr>
        <w:t xml:space="preserve">policies </w:t>
      </w:r>
      <w:r w:rsidR="007F4B97" w:rsidRPr="00611577">
        <w:rPr>
          <w:rFonts w:cstheme="minorHAnsi"/>
        </w:rPr>
        <w:t xml:space="preserve">S3-4, </w:t>
      </w:r>
      <w:r w:rsidR="00B810C5" w:rsidRPr="00611577">
        <w:rPr>
          <w:rFonts w:cstheme="minorHAnsi"/>
        </w:rPr>
        <w:t>ENV1-6</w:t>
      </w:r>
      <w:r w:rsidR="00BB4923" w:rsidRPr="00611577">
        <w:rPr>
          <w:rFonts w:cstheme="minorHAnsi"/>
        </w:rPr>
        <w:t xml:space="preserve"> and A3</w:t>
      </w:r>
      <w:r w:rsidR="00B810C5" w:rsidRPr="00611577">
        <w:rPr>
          <w:rFonts w:cstheme="minorHAnsi"/>
        </w:rPr>
        <w:t>)</w:t>
      </w:r>
      <w:r w:rsidRPr="00611577">
        <w:rPr>
          <w:rFonts w:cstheme="minorHAnsi"/>
        </w:rPr>
        <w:t>.</w:t>
      </w:r>
    </w:p>
    <w:p w14:paraId="250DFBB8" w14:textId="77777777" w:rsidR="00E11DC5" w:rsidRPr="00E11DC5" w:rsidRDefault="00E11DC5" w:rsidP="00E11DC5">
      <w:pPr>
        <w:spacing w:after="0" w:line="240" w:lineRule="auto"/>
        <w:rPr>
          <w:b/>
          <w:bCs/>
          <w:sz w:val="20"/>
          <w:szCs w:val="20"/>
          <w:u w:val="single"/>
        </w:rPr>
      </w:pPr>
    </w:p>
    <w:p w14:paraId="3CC6AFDB" w14:textId="3EE4A60F" w:rsidR="00E11DC5" w:rsidRPr="00D06414" w:rsidRDefault="008C389E" w:rsidP="00E11DC5">
      <w:pPr>
        <w:spacing w:after="0" w:line="240" w:lineRule="auto"/>
        <w:rPr>
          <w:rFonts w:cstheme="minorHAnsi"/>
        </w:rPr>
      </w:pPr>
      <w:r w:rsidRPr="00301C35">
        <w:rPr>
          <w:b/>
          <w:bCs/>
          <w:u w:val="single"/>
        </w:rPr>
        <w:t>Policy Statement</w:t>
      </w:r>
      <w:r>
        <w:t xml:space="preserve">: </w:t>
      </w:r>
      <w:r w:rsidR="0076307C">
        <w:t xml:space="preserve">The PC does not have a Neighbourhood Plan </w:t>
      </w:r>
      <w:r w:rsidR="00611577">
        <w:t>as</w:t>
      </w:r>
      <w:r w:rsidR="00301C35">
        <w:t xml:space="preserve"> it is considered Reference A and B </w:t>
      </w:r>
      <w:r w:rsidR="00611577">
        <w:t xml:space="preserve">sufficiently </w:t>
      </w:r>
      <w:r w:rsidR="00301C35">
        <w:t xml:space="preserve">protect the interests of the Parish if applied dependably by planning authorities at County Council level and are applied appropriately by the PC for planning application considerations. </w:t>
      </w:r>
      <w:r w:rsidR="00611577">
        <w:t>A</w:t>
      </w:r>
      <w:r w:rsidR="008C5F89">
        <w:t xml:space="preserve">nyone </w:t>
      </w:r>
      <w:r w:rsidR="004E4749">
        <w:t>applying</w:t>
      </w:r>
      <w:r w:rsidR="008C5F89">
        <w:t xml:space="preserve"> </w:t>
      </w:r>
      <w:r w:rsidR="004E4749">
        <w:t xml:space="preserve">for planning </w:t>
      </w:r>
      <w:r w:rsidR="00611577">
        <w:t>are advised to</w:t>
      </w:r>
      <w:r w:rsidR="008C5F89">
        <w:t xml:space="preserve"> refer to </w:t>
      </w:r>
      <w:r w:rsidR="00611577">
        <w:t xml:space="preserve">both </w:t>
      </w:r>
      <w:r w:rsidR="008C5F89">
        <w:t>References</w:t>
      </w:r>
      <w:r w:rsidR="00611577">
        <w:t xml:space="preserve">, </w:t>
      </w:r>
      <w:r w:rsidR="008C5F89">
        <w:t xml:space="preserve">particularly </w:t>
      </w:r>
      <w:r w:rsidR="004E4749">
        <w:t>R</w:t>
      </w:r>
      <w:r w:rsidR="008C5F89">
        <w:t xml:space="preserve">eference B. </w:t>
      </w:r>
      <w:r w:rsidR="004E4749">
        <w:t xml:space="preserve">It is not intended to repeat at length what is already covered </w:t>
      </w:r>
      <w:r w:rsidR="00611577">
        <w:t>in</w:t>
      </w:r>
      <w:r w:rsidR="004E4749">
        <w:t xml:space="preserve"> those </w:t>
      </w:r>
      <w:r w:rsidR="00A25524">
        <w:t>References,</w:t>
      </w:r>
      <w:r w:rsidR="004E4749">
        <w:t xml:space="preserve"> but </w:t>
      </w:r>
      <w:r w:rsidR="00611577">
        <w:t>we do emphasise</w:t>
      </w:r>
      <w:r w:rsidR="004E4749">
        <w:t xml:space="preserve"> that PC considerations will place great emphasis </w:t>
      </w:r>
      <w:r w:rsidR="004A731C">
        <w:t xml:space="preserve">on the </w:t>
      </w:r>
      <w:r w:rsidR="00611577">
        <w:t>fact</w:t>
      </w:r>
      <w:r w:rsidR="004A731C">
        <w:t xml:space="preserve"> we are outside development limits of the Local Plan and consequently considered “Countryside”</w:t>
      </w:r>
      <w:r w:rsidR="00611577">
        <w:t xml:space="preserve">. </w:t>
      </w:r>
      <w:r w:rsidR="00D06414">
        <w:t>So</w:t>
      </w:r>
      <w:r w:rsidR="004A731C">
        <w:t xml:space="preserve"> </w:t>
      </w:r>
      <w:r w:rsidR="00D06414">
        <w:t>the PC</w:t>
      </w:r>
      <w:r w:rsidR="00611577">
        <w:t xml:space="preserve"> </w:t>
      </w:r>
      <w:r w:rsidR="00D06414">
        <w:t xml:space="preserve">will </w:t>
      </w:r>
      <w:r w:rsidR="004A731C">
        <w:t xml:space="preserve">levy </w:t>
      </w:r>
      <w:r w:rsidR="00611577">
        <w:t xml:space="preserve">great </w:t>
      </w:r>
      <w:r w:rsidR="004A731C">
        <w:t xml:space="preserve">weight to </w:t>
      </w:r>
      <w:r w:rsidR="004E4749">
        <w:t>provisions such as: Retaining the distinctive character and landscape setting of Wolds villages, protecting the diverse character, skyline and views across the steep sided dry dales and rolling tops of the Yorkshire Wolds, establishment of a settlement hierarchy,</w:t>
      </w:r>
      <w:r w:rsidR="004E4749" w:rsidRPr="004E4749">
        <w:t xml:space="preserve"> </w:t>
      </w:r>
      <w:r w:rsidR="004E4749">
        <w:t xml:space="preserve">enhancing </w:t>
      </w:r>
      <w:r w:rsidR="00D06414">
        <w:t>and</w:t>
      </w:r>
      <w:r w:rsidR="004E4749">
        <w:t xml:space="preserve"> maintaining </w:t>
      </w:r>
      <w:r w:rsidR="00D06414">
        <w:t xml:space="preserve">the </w:t>
      </w:r>
      <w:r w:rsidR="004E4749">
        <w:t>vitality of rural</w:t>
      </w:r>
      <w:r w:rsidR="00F63420">
        <w:t xml:space="preserve"> </w:t>
      </w:r>
      <w:r w:rsidR="004E4749">
        <w:t>communities</w:t>
      </w:r>
      <w:r w:rsidR="007F4B97">
        <w:t>,</w:t>
      </w:r>
      <w:r w:rsidR="007F4B97" w:rsidRPr="007F4B97">
        <w:t xml:space="preserve"> </w:t>
      </w:r>
      <w:r w:rsidR="007F4B97">
        <w:t>ensuring sustainable development achieved</w:t>
      </w:r>
      <w:r w:rsidR="0000689C">
        <w:t xml:space="preserve">, respecting intrinsic character of our surroundings, </w:t>
      </w:r>
      <w:r w:rsidR="00611577">
        <w:t xml:space="preserve">ensuring </w:t>
      </w:r>
      <w:r w:rsidR="0000689C">
        <w:t>development respond</w:t>
      </w:r>
      <w:r w:rsidR="00611577">
        <w:t>s</w:t>
      </w:r>
      <w:r w:rsidR="0000689C">
        <w:t xml:space="preserve"> to local character and reflect</w:t>
      </w:r>
      <w:r w:rsidR="00611577">
        <w:t>s</w:t>
      </w:r>
      <w:r w:rsidR="0000689C">
        <w:t xml:space="preserve"> the identity of our surroundings, have regard to the specific characteristics of the site's wider context and the character of the surrounding area, require development to respond to local character and reflect the identity of its surroundings</w:t>
      </w:r>
      <w:r w:rsidR="00611577">
        <w:t>, preserving existing Public Rights of Way.</w:t>
      </w:r>
      <w:r w:rsidR="00D06414">
        <w:t xml:space="preserve"> </w:t>
      </w:r>
      <w:r w:rsidR="00D06414" w:rsidRPr="00D06414">
        <w:rPr>
          <w:rFonts w:cstheme="minorHAnsi"/>
        </w:rPr>
        <w:t>In addition, in June 2021, Secretary of State, announced that Natural England “will be taking forward the government’s commitment to designate additional protected landscapes and is currently considering the designation of four new areas”, which includes possible designation of a new Yorkshire Wolds AONB</w:t>
      </w:r>
      <w:r w:rsidR="00D06414">
        <w:rPr>
          <w:rStyle w:val="FootnoteReference"/>
          <w:rFonts w:cstheme="minorHAnsi"/>
        </w:rPr>
        <w:footnoteReference w:id="1"/>
      </w:r>
      <w:r w:rsidR="00D06414" w:rsidRPr="00D06414">
        <w:rPr>
          <w:rFonts w:cstheme="minorHAnsi"/>
        </w:rPr>
        <w:t xml:space="preserve"> so the PC will also take this into consideration when considering planning applications.</w:t>
      </w:r>
    </w:p>
    <w:p w14:paraId="08F71191" w14:textId="7867AF8D" w:rsidR="004E4749" w:rsidRPr="00E11DC5" w:rsidRDefault="00611577" w:rsidP="00E11DC5">
      <w:pPr>
        <w:spacing w:after="0" w:line="240" w:lineRule="auto"/>
        <w:rPr>
          <w:sz w:val="20"/>
          <w:szCs w:val="20"/>
        </w:rPr>
      </w:pPr>
      <w:r>
        <w:t xml:space="preserve">  </w:t>
      </w:r>
    </w:p>
    <w:p w14:paraId="62541D98" w14:textId="0832EFA4" w:rsidR="00337F2B" w:rsidRPr="008C389E" w:rsidRDefault="00337F2B" w:rsidP="00E11DC5">
      <w:pPr>
        <w:spacing w:after="0" w:line="240" w:lineRule="auto"/>
        <w:rPr>
          <w:rFonts w:cstheme="minorHAnsi"/>
        </w:rPr>
      </w:pPr>
      <w:r w:rsidRPr="003B63AF">
        <w:rPr>
          <w:rFonts w:cstheme="minorHAnsi"/>
          <w:b/>
          <w:bCs/>
        </w:rPr>
        <w:t xml:space="preserve">Planning </w:t>
      </w:r>
      <w:r w:rsidR="003B63AF" w:rsidRPr="003B63AF">
        <w:rPr>
          <w:rFonts w:cstheme="minorHAnsi"/>
          <w:b/>
          <w:bCs/>
        </w:rPr>
        <w:t>Considerations</w:t>
      </w:r>
      <w:r w:rsidR="003B63AF">
        <w:rPr>
          <w:rFonts w:cstheme="minorHAnsi"/>
        </w:rPr>
        <w:t xml:space="preserve">: </w:t>
      </w:r>
      <w:r w:rsidRPr="008C389E">
        <w:rPr>
          <w:rFonts w:cstheme="minorHAnsi"/>
        </w:rPr>
        <w:t>Planning applications are a regular feature of council meetings</w:t>
      </w:r>
      <w:r w:rsidR="001F5940" w:rsidRPr="008C389E">
        <w:rPr>
          <w:rFonts w:cstheme="minorHAnsi"/>
        </w:rPr>
        <w:t xml:space="preserve"> and are probably</w:t>
      </w:r>
      <w:r w:rsidRPr="008C389E">
        <w:rPr>
          <w:rFonts w:cstheme="minorHAnsi"/>
        </w:rPr>
        <w:t xml:space="preserve"> one of the issues that arouses most community interests. </w:t>
      </w:r>
      <w:r w:rsidR="00D11B28">
        <w:rPr>
          <w:rFonts w:cstheme="minorHAnsi"/>
        </w:rPr>
        <w:t>Councillors will attach weight to each consideration based on local knowledge, judgement, evidence presented and discussed and planning conditions. The PC</w:t>
      </w:r>
      <w:r w:rsidRPr="008C389E">
        <w:rPr>
          <w:rFonts w:cstheme="minorHAnsi"/>
        </w:rPr>
        <w:t>, whilst deciding to approve or reject an application</w:t>
      </w:r>
      <w:r w:rsidR="001F5940" w:rsidRPr="008C389E">
        <w:rPr>
          <w:rFonts w:cstheme="minorHAnsi"/>
        </w:rPr>
        <w:t>,</w:t>
      </w:r>
      <w:r w:rsidRPr="008C389E">
        <w:rPr>
          <w:rFonts w:cstheme="minorHAnsi"/>
        </w:rPr>
        <w:t xml:space="preserve"> should always use material considerations</w:t>
      </w:r>
      <w:r w:rsidR="008C389E" w:rsidRPr="008C389E">
        <w:rPr>
          <w:rStyle w:val="FootnoteReference"/>
          <w:rFonts w:cstheme="minorHAnsi"/>
        </w:rPr>
        <w:footnoteReference w:id="2"/>
      </w:r>
      <w:r w:rsidRPr="008C389E">
        <w:rPr>
          <w:rFonts w:cstheme="minorHAnsi"/>
        </w:rPr>
        <w:t xml:space="preserve"> when commenting on applications</w:t>
      </w:r>
      <w:r w:rsidR="003B63AF">
        <w:rPr>
          <w:rFonts w:cstheme="minorHAnsi"/>
        </w:rPr>
        <w:t xml:space="preserve">, which </w:t>
      </w:r>
      <w:r w:rsidRPr="008C389E">
        <w:rPr>
          <w:rFonts w:cstheme="minorHAnsi"/>
        </w:rPr>
        <w:t>can include:</w:t>
      </w:r>
    </w:p>
    <w:p w14:paraId="50004974" w14:textId="39962CCF"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Overlooking/loss of privacy</w:t>
      </w:r>
      <w:r w:rsidR="008F00D0">
        <w:rPr>
          <w:rFonts w:cstheme="minorHAnsi"/>
        </w:rPr>
        <w:t>.</w:t>
      </w:r>
    </w:p>
    <w:p w14:paraId="360EBCEF" w14:textId="5141D0EC"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 xml:space="preserve">Loss of </w:t>
      </w:r>
      <w:r w:rsidR="001F5940" w:rsidRPr="003B63AF">
        <w:rPr>
          <w:rFonts w:cstheme="minorHAnsi"/>
        </w:rPr>
        <w:t>(sun)</w:t>
      </w:r>
      <w:r w:rsidRPr="003B63AF">
        <w:rPr>
          <w:rFonts w:cstheme="minorHAnsi"/>
        </w:rPr>
        <w:t>light or overshadowing</w:t>
      </w:r>
      <w:r w:rsidR="001F5940" w:rsidRPr="003B63AF">
        <w:rPr>
          <w:rFonts w:cstheme="minorHAnsi"/>
        </w:rPr>
        <w:t xml:space="preserve"> or impact on outlook/privacy</w:t>
      </w:r>
      <w:r w:rsidR="008F00D0">
        <w:rPr>
          <w:rFonts w:cstheme="minorHAnsi"/>
        </w:rPr>
        <w:t>.</w:t>
      </w:r>
    </w:p>
    <w:p w14:paraId="6E72F5D6" w14:textId="64F8D1C3"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Parking -insufficient or in some cases none</w:t>
      </w:r>
      <w:r w:rsidR="008F00D0">
        <w:rPr>
          <w:rFonts w:cstheme="minorHAnsi"/>
        </w:rPr>
        <w:t>.</w:t>
      </w:r>
    </w:p>
    <w:p w14:paraId="4B4E0ADA" w14:textId="3894127D"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Highway safety - visibility splays sight lines</w:t>
      </w:r>
      <w:r w:rsidR="001F5940" w:rsidRPr="003B63AF">
        <w:rPr>
          <w:rFonts w:cstheme="minorHAnsi"/>
        </w:rPr>
        <w:t>;</w:t>
      </w:r>
      <w:r w:rsidRPr="003B63AF">
        <w:rPr>
          <w:rFonts w:cstheme="minorHAnsi"/>
        </w:rPr>
        <w:t xml:space="preserve"> a 30mph need a 43m sightline</w:t>
      </w:r>
      <w:r w:rsidR="008F00D0">
        <w:rPr>
          <w:rFonts w:cstheme="minorHAnsi"/>
        </w:rPr>
        <w:t>.</w:t>
      </w:r>
      <w:r w:rsidRPr="003B63AF">
        <w:rPr>
          <w:rFonts w:cstheme="minorHAnsi"/>
        </w:rPr>
        <w:t xml:space="preserve"> </w:t>
      </w:r>
    </w:p>
    <w:p w14:paraId="0C032DA2" w14:textId="2396076D"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Traffic - an increase in traffic movements in a specific area</w:t>
      </w:r>
      <w:r w:rsidR="008F00D0">
        <w:rPr>
          <w:rFonts w:cstheme="minorHAnsi"/>
        </w:rPr>
        <w:t>.</w:t>
      </w:r>
    </w:p>
    <w:p w14:paraId="70FA4A8F" w14:textId="4DA7950C"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Noise</w:t>
      </w:r>
      <w:r w:rsidR="001F5940" w:rsidRPr="003B63AF">
        <w:rPr>
          <w:rFonts w:cstheme="minorHAnsi"/>
        </w:rPr>
        <w:t xml:space="preserve"> or disturbance</w:t>
      </w:r>
      <w:r w:rsidR="00E222B4" w:rsidRPr="003B63AF">
        <w:rPr>
          <w:rFonts w:cstheme="minorHAnsi"/>
        </w:rPr>
        <w:t>, impact on crime/anti-social behaviour</w:t>
      </w:r>
      <w:r w:rsidR="008F00D0">
        <w:rPr>
          <w:rFonts w:cstheme="minorHAnsi"/>
        </w:rPr>
        <w:t>.</w:t>
      </w:r>
    </w:p>
    <w:p w14:paraId="4D0B3E51" w14:textId="310DCCE5"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Effect on listed building and conservation area</w:t>
      </w:r>
      <w:r w:rsidR="008F00D0">
        <w:rPr>
          <w:rFonts w:cstheme="minorHAnsi"/>
        </w:rPr>
        <w:t>.</w:t>
      </w:r>
    </w:p>
    <w:p w14:paraId="436298B2" w14:textId="797A375E"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Layout and density of building</w:t>
      </w:r>
      <w:r w:rsidR="001F5940" w:rsidRPr="003B63AF">
        <w:rPr>
          <w:rFonts w:cstheme="minorHAnsi"/>
        </w:rPr>
        <w:t>, incompatible or unacceptable use</w:t>
      </w:r>
      <w:r w:rsidR="008F00D0">
        <w:rPr>
          <w:rFonts w:cstheme="minorHAnsi"/>
        </w:rPr>
        <w:t>.</w:t>
      </w:r>
    </w:p>
    <w:p w14:paraId="3888B463" w14:textId="60AB0A9B"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 xml:space="preserve">Design, </w:t>
      </w:r>
      <w:r w:rsidR="008F00D0" w:rsidRPr="003B63AF">
        <w:rPr>
          <w:rFonts w:cstheme="minorHAnsi"/>
        </w:rPr>
        <w:t>appearance,</w:t>
      </w:r>
      <w:r w:rsidRPr="003B63AF">
        <w:rPr>
          <w:rFonts w:cstheme="minorHAnsi"/>
        </w:rPr>
        <w:t xml:space="preserve"> and materials</w:t>
      </w:r>
      <w:r w:rsidR="008F00D0">
        <w:rPr>
          <w:rFonts w:cstheme="minorHAnsi"/>
        </w:rPr>
        <w:t>.</w:t>
      </w:r>
    </w:p>
    <w:p w14:paraId="6F7D1DFE" w14:textId="1CC2C715"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Government policy</w:t>
      </w:r>
      <w:r w:rsidR="008F00D0">
        <w:rPr>
          <w:rFonts w:cstheme="minorHAnsi"/>
        </w:rPr>
        <w:t>.</w:t>
      </w:r>
    </w:p>
    <w:p w14:paraId="2DF485EC" w14:textId="775C443F"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Disabled persons' access</w:t>
      </w:r>
      <w:r w:rsidR="008F00D0">
        <w:rPr>
          <w:rFonts w:cstheme="minorHAnsi"/>
        </w:rPr>
        <w:t>.</w:t>
      </w:r>
    </w:p>
    <w:p w14:paraId="18C270E6" w14:textId="29B31A00"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Proposals in the Development Plan</w:t>
      </w:r>
      <w:r w:rsidR="008F00D0">
        <w:rPr>
          <w:rFonts w:cstheme="minorHAnsi"/>
        </w:rPr>
        <w:t>.</w:t>
      </w:r>
    </w:p>
    <w:p w14:paraId="7671E9F0" w14:textId="56F9483E"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Previous planning decisions (including appeal decisions)</w:t>
      </w:r>
      <w:r w:rsidR="008F00D0">
        <w:rPr>
          <w:rFonts w:cstheme="minorHAnsi"/>
        </w:rPr>
        <w:t>.</w:t>
      </w:r>
    </w:p>
    <w:p w14:paraId="0B2899D9" w14:textId="34554EFC" w:rsidR="00337F2B" w:rsidRPr="003B63AF" w:rsidRDefault="00337F2B" w:rsidP="003B63AF">
      <w:pPr>
        <w:pStyle w:val="ListParagraph"/>
        <w:numPr>
          <w:ilvl w:val="0"/>
          <w:numId w:val="2"/>
        </w:numPr>
        <w:spacing w:after="0" w:line="240" w:lineRule="auto"/>
        <w:rPr>
          <w:rFonts w:cstheme="minorHAnsi"/>
        </w:rPr>
      </w:pPr>
      <w:r w:rsidRPr="003B63AF">
        <w:rPr>
          <w:rFonts w:cstheme="minorHAnsi"/>
        </w:rPr>
        <w:t>Nature conservation</w:t>
      </w:r>
      <w:r w:rsidR="001F5940" w:rsidRPr="003B63AF">
        <w:rPr>
          <w:rFonts w:cstheme="minorHAnsi"/>
        </w:rPr>
        <w:t>; trees and landscaping</w:t>
      </w:r>
      <w:r w:rsidR="00E222B4" w:rsidRPr="003B63AF">
        <w:rPr>
          <w:rFonts w:cstheme="minorHAnsi"/>
        </w:rPr>
        <w:t>, wildlife, wildflowers</w:t>
      </w:r>
      <w:r w:rsidR="008F00D0">
        <w:rPr>
          <w:rFonts w:cstheme="minorHAnsi"/>
        </w:rPr>
        <w:t>.</w:t>
      </w:r>
    </w:p>
    <w:p w14:paraId="45BDCC8D" w14:textId="47C3F8EE" w:rsidR="00E222B4" w:rsidRPr="003B63AF" w:rsidRDefault="00E222B4" w:rsidP="003B63AF">
      <w:pPr>
        <w:pStyle w:val="ListParagraph"/>
        <w:numPr>
          <w:ilvl w:val="0"/>
          <w:numId w:val="2"/>
        </w:numPr>
        <w:spacing w:after="0" w:line="240" w:lineRule="auto"/>
        <w:rPr>
          <w:rFonts w:cstheme="minorHAnsi"/>
        </w:rPr>
      </w:pPr>
      <w:r w:rsidRPr="003B63AF">
        <w:rPr>
          <w:rFonts w:cstheme="minorHAnsi"/>
        </w:rPr>
        <w:t>Preserve Community Life – cumulative impact</w:t>
      </w:r>
      <w:r w:rsidR="008F00D0">
        <w:rPr>
          <w:rFonts w:cstheme="minorHAnsi"/>
        </w:rPr>
        <w:t>.</w:t>
      </w:r>
    </w:p>
    <w:p w14:paraId="086073F2" w14:textId="77777777" w:rsidR="00D11B28" w:rsidRPr="00E11DC5" w:rsidRDefault="00D11B28" w:rsidP="00D11B28">
      <w:pPr>
        <w:spacing w:after="0" w:line="240" w:lineRule="auto"/>
        <w:rPr>
          <w:rFonts w:cstheme="minorHAnsi"/>
          <w:b/>
          <w:bCs/>
          <w:sz w:val="20"/>
          <w:szCs w:val="20"/>
        </w:rPr>
      </w:pPr>
    </w:p>
    <w:p w14:paraId="07E6FAE0" w14:textId="0711503B" w:rsidR="00E217DA" w:rsidRDefault="00E217DA" w:rsidP="00D11B28">
      <w:pPr>
        <w:spacing w:after="0" w:line="240" w:lineRule="auto"/>
        <w:rPr>
          <w:rFonts w:cstheme="minorHAnsi"/>
        </w:rPr>
      </w:pPr>
      <w:r w:rsidRPr="00D11B28">
        <w:rPr>
          <w:rFonts w:cstheme="minorHAnsi"/>
          <w:b/>
          <w:bCs/>
        </w:rPr>
        <w:t>What Cannot be Considered</w:t>
      </w:r>
      <w:r>
        <w:rPr>
          <w:rFonts w:cstheme="minorHAnsi"/>
        </w:rPr>
        <w:t xml:space="preserve">: </w:t>
      </w:r>
      <w:r w:rsidRPr="00E217DA">
        <w:rPr>
          <w:rFonts w:cstheme="minorHAnsi"/>
        </w:rPr>
        <w:t xml:space="preserve"> </w:t>
      </w:r>
      <w:r w:rsidR="00D11B28" w:rsidRPr="008C389E">
        <w:rPr>
          <w:rFonts w:cstheme="minorHAnsi"/>
        </w:rPr>
        <w:t xml:space="preserve">Councillors should avoid </w:t>
      </w:r>
      <w:r w:rsidR="00D11B28">
        <w:rPr>
          <w:rFonts w:cstheme="minorHAnsi"/>
        </w:rPr>
        <w:t>considerations</w:t>
      </w:r>
      <w:r w:rsidR="00D11B28" w:rsidRPr="008C389E">
        <w:rPr>
          <w:rFonts w:cstheme="minorHAnsi"/>
        </w:rPr>
        <w:t xml:space="preserve"> such as loss of view, or negative effect on the value of properties as they are not material considerations and will be dismissed by the planning officers and planning committee.</w:t>
      </w:r>
      <w:r w:rsidR="00D11B28">
        <w:rPr>
          <w:rFonts w:cstheme="minorHAnsi"/>
        </w:rPr>
        <w:t xml:space="preserve"> These </w:t>
      </w:r>
      <w:proofErr w:type="gramStart"/>
      <w:r w:rsidR="00D11B28">
        <w:rPr>
          <w:rFonts w:cstheme="minorHAnsi"/>
        </w:rPr>
        <w:t>include:</w:t>
      </w:r>
      <w:proofErr w:type="gramEnd"/>
      <w:r w:rsidR="00D11B28">
        <w:rPr>
          <w:rFonts w:cstheme="minorHAnsi"/>
        </w:rPr>
        <w:t xml:space="preserve"> </w:t>
      </w:r>
      <w:r w:rsidRPr="00E217DA">
        <w:rPr>
          <w:rFonts w:cstheme="minorHAnsi"/>
        </w:rPr>
        <w:t>Matters controlled under other legislation</w:t>
      </w:r>
      <w:r w:rsidR="00D11B28">
        <w:rPr>
          <w:rFonts w:cstheme="minorHAnsi"/>
        </w:rPr>
        <w:t xml:space="preserve">, </w:t>
      </w:r>
      <w:r w:rsidRPr="00E217DA">
        <w:rPr>
          <w:rFonts w:cstheme="minorHAnsi"/>
        </w:rPr>
        <w:t>Private issues between neighbours</w:t>
      </w:r>
      <w:r w:rsidR="00D11B28">
        <w:rPr>
          <w:rFonts w:cstheme="minorHAnsi"/>
        </w:rPr>
        <w:t xml:space="preserve">, </w:t>
      </w:r>
      <w:r w:rsidRPr="00E217DA">
        <w:rPr>
          <w:rFonts w:cstheme="minorHAnsi"/>
        </w:rPr>
        <w:t>Business competition</w:t>
      </w:r>
      <w:r w:rsidR="00D11B28">
        <w:rPr>
          <w:rFonts w:cstheme="minorHAnsi"/>
        </w:rPr>
        <w:t xml:space="preserve">, </w:t>
      </w:r>
      <w:r w:rsidRPr="00E217DA">
        <w:rPr>
          <w:rFonts w:cstheme="minorHAnsi"/>
        </w:rPr>
        <w:t>Loss of property value</w:t>
      </w:r>
      <w:r w:rsidR="00D11B28">
        <w:rPr>
          <w:rFonts w:cstheme="minorHAnsi"/>
        </w:rPr>
        <w:t>, L</w:t>
      </w:r>
      <w:r w:rsidRPr="00E217DA">
        <w:rPr>
          <w:rFonts w:cstheme="minorHAnsi"/>
        </w:rPr>
        <w:t>oss of view</w:t>
      </w:r>
      <w:r w:rsidR="00D11B28">
        <w:rPr>
          <w:rFonts w:cstheme="minorHAnsi"/>
        </w:rPr>
        <w:t xml:space="preserve">, </w:t>
      </w:r>
      <w:r w:rsidRPr="00E217DA">
        <w:rPr>
          <w:rFonts w:cstheme="minorHAnsi"/>
        </w:rPr>
        <w:t>Applicant’s motives</w:t>
      </w:r>
      <w:r w:rsidR="00D11B28">
        <w:rPr>
          <w:rFonts w:cstheme="minorHAnsi"/>
        </w:rPr>
        <w:t xml:space="preserve">, </w:t>
      </w:r>
      <w:r w:rsidRPr="00E217DA">
        <w:rPr>
          <w:rFonts w:cstheme="minorHAnsi"/>
        </w:rPr>
        <w:t>Potential profit</w:t>
      </w:r>
      <w:r w:rsidR="00D11B28">
        <w:rPr>
          <w:rFonts w:cstheme="minorHAnsi"/>
        </w:rPr>
        <w:t xml:space="preserve">, </w:t>
      </w:r>
      <w:r w:rsidRPr="00E217DA">
        <w:rPr>
          <w:rFonts w:cstheme="minorHAnsi"/>
        </w:rPr>
        <w:t>Opposition to principle of development at reserved matters stage</w:t>
      </w:r>
      <w:r w:rsidR="00D11B28">
        <w:rPr>
          <w:rFonts w:cstheme="minorHAnsi"/>
        </w:rPr>
        <w:t xml:space="preserve">, </w:t>
      </w:r>
      <w:r w:rsidRPr="00E217DA">
        <w:rPr>
          <w:rFonts w:cstheme="minorHAnsi"/>
        </w:rPr>
        <w:t>Applicant’s personal circumstances</w:t>
      </w:r>
      <w:r w:rsidR="00D11B28">
        <w:rPr>
          <w:rFonts w:cstheme="minorHAnsi"/>
        </w:rPr>
        <w:t xml:space="preserve">. </w:t>
      </w:r>
    </w:p>
    <w:p w14:paraId="3E3FA660" w14:textId="2ADE7A88" w:rsidR="00D11B28" w:rsidRPr="00E11DC5" w:rsidRDefault="00D11B28" w:rsidP="00D11B28">
      <w:pPr>
        <w:spacing w:after="0" w:line="240" w:lineRule="auto"/>
        <w:rPr>
          <w:rFonts w:cstheme="minorHAnsi"/>
          <w:sz w:val="20"/>
          <w:szCs w:val="20"/>
        </w:rPr>
      </w:pPr>
    </w:p>
    <w:p w14:paraId="75542D92" w14:textId="77777777" w:rsidR="005D1B5E" w:rsidRDefault="005D1B5E" w:rsidP="00D11B28">
      <w:pPr>
        <w:spacing w:after="0" w:line="240" w:lineRule="auto"/>
        <w:rPr>
          <w:rFonts w:cstheme="minorHAnsi"/>
          <w:b/>
          <w:bCs/>
        </w:rPr>
      </w:pPr>
    </w:p>
    <w:p w14:paraId="340F7C16" w14:textId="1C4A9C20" w:rsidR="00D11B28" w:rsidRPr="00E217DA" w:rsidRDefault="00E11DC5" w:rsidP="00D11B28">
      <w:pPr>
        <w:spacing w:after="0" w:line="240" w:lineRule="auto"/>
        <w:rPr>
          <w:rFonts w:cstheme="minorHAnsi"/>
        </w:rPr>
      </w:pPr>
      <w:r w:rsidRPr="00E11DC5">
        <w:rPr>
          <w:rFonts w:cstheme="minorHAnsi"/>
          <w:b/>
          <w:bCs/>
        </w:rPr>
        <w:t>Representation</w:t>
      </w:r>
      <w:r>
        <w:rPr>
          <w:rFonts w:cstheme="minorHAnsi"/>
        </w:rPr>
        <w:t xml:space="preserve">: It is important applicants are afforded opportunity to have all evidence bought before the PC and while statutory process allows that, the PC agreed to additional measures to assist with that; these are to: directly inform applicants when their  application is being considered, conduct a site visit unless a decision has been taken not to do so (in which case applicants should be told why), ensure decisions are only taken when advice is available </w:t>
      </w:r>
      <w:proofErr w:type="spellStart"/>
      <w:r>
        <w:rPr>
          <w:rFonts w:cstheme="minorHAnsi"/>
        </w:rPr>
        <w:t>form</w:t>
      </w:r>
      <w:proofErr w:type="spellEnd"/>
      <w:r>
        <w:rPr>
          <w:rFonts w:cstheme="minorHAnsi"/>
        </w:rPr>
        <w:t xml:space="preserve"> the Ward Councillor and Clerk, and notify applicants directly of the PC decision. A checklist is attached. </w:t>
      </w:r>
    </w:p>
    <w:p w14:paraId="4BB9E2E7" w14:textId="396531DA" w:rsidR="00E217DA" w:rsidRDefault="00E217DA" w:rsidP="00337F2B">
      <w:pPr>
        <w:spacing w:after="0" w:line="240" w:lineRule="auto"/>
        <w:rPr>
          <w:rFonts w:cstheme="minorHAnsi"/>
        </w:rPr>
      </w:pPr>
    </w:p>
    <w:p w14:paraId="7A363CC0" w14:textId="77777777" w:rsidR="005D1B5E" w:rsidRDefault="005D1B5E" w:rsidP="00337F2B">
      <w:pPr>
        <w:spacing w:after="0" w:line="240" w:lineRule="auto"/>
        <w:rPr>
          <w:rFonts w:cstheme="minorHAnsi"/>
        </w:rPr>
      </w:pPr>
    </w:p>
    <w:p w14:paraId="70976134" w14:textId="77777777" w:rsidR="009A3C12" w:rsidRDefault="009A3C12" w:rsidP="00C30EB0">
      <w:pPr>
        <w:spacing w:after="0"/>
        <w:jc w:val="center"/>
        <w:rPr>
          <w:rFonts w:cstheme="minorHAnsi"/>
          <w:b/>
          <w:bCs/>
          <w:caps/>
          <w:u w:val="single"/>
        </w:rPr>
      </w:pPr>
    </w:p>
    <w:p w14:paraId="327C5471" w14:textId="33E4EE51" w:rsidR="00C30EB0" w:rsidRPr="00F90081" w:rsidRDefault="00C30EB0" w:rsidP="00C30EB0">
      <w:pPr>
        <w:spacing w:after="0"/>
        <w:jc w:val="center"/>
        <w:rPr>
          <w:rFonts w:cstheme="minorHAnsi"/>
          <w:b/>
          <w:bCs/>
          <w:caps/>
          <w:u w:val="single"/>
        </w:rPr>
      </w:pPr>
      <w:r w:rsidRPr="00F90081">
        <w:rPr>
          <w:rFonts w:cstheme="minorHAnsi"/>
          <w:b/>
          <w:bCs/>
          <w:caps/>
          <w:u w:val="single"/>
        </w:rPr>
        <w:t>Planning Application Checklist</w:t>
      </w:r>
    </w:p>
    <w:p w14:paraId="77FCB366" w14:textId="77777777" w:rsidR="00C30EB0" w:rsidRPr="008C389E" w:rsidRDefault="00C30EB0" w:rsidP="00C30EB0">
      <w:pPr>
        <w:spacing w:after="0"/>
        <w:rPr>
          <w:rFonts w:cstheme="minorHAnsi"/>
        </w:rPr>
      </w:pPr>
    </w:p>
    <w:tbl>
      <w:tblPr>
        <w:tblW w:w="997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9"/>
        <w:gridCol w:w="1985"/>
        <w:gridCol w:w="4048"/>
      </w:tblGrid>
      <w:tr w:rsidR="00C30EB0" w:rsidRPr="008C389E" w14:paraId="17F7FAAA" w14:textId="77777777" w:rsidTr="001E7B64">
        <w:trPr>
          <w:trHeight w:val="670"/>
        </w:trPr>
        <w:tc>
          <w:tcPr>
            <w:tcW w:w="3939" w:type="dxa"/>
            <w:shd w:val="clear" w:color="auto" w:fill="FF6600"/>
          </w:tcPr>
          <w:p w14:paraId="347B36A2" w14:textId="77777777" w:rsidR="00C30EB0" w:rsidRPr="008C389E" w:rsidRDefault="00C30EB0" w:rsidP="00C30EB0">
            <w:pPr>
              <w:spacing w:after="0"/>
              <w:rPr>
                <w:rFonts w:cstheme="minorHAnsi"/>
                <w:b/>
                <w:bCs/>
              </w:rPr>
            </w:pPr>
            <w:r w:rsidRPr="008C389E">
              <w:rPr>
                <w:rFonts w:cstheme="minorHAnsi"/>
                <w:b/>
                <w:bCs/>
              </w:rPr>
              <w:t>ACTION:</w:t>
            </w:r>
          </w:p>
          <w:p w14:paraId="75EBB1F3" w14:textId="77777777" w:rsidR="00C30EB0" w:rsidRPr="008C389E" w:rsidRDefault="00C30EB0" w:rsidP="00C30EB0">
            <w:pPr>
              <w:spacing w:after="0"/>
              <w:rPr>
                <w:rFonts w:cstheme="minorHAnsi"/>
                <w:b/>
                <w:bCs/>
              </w:rPr>
            </w:pPr>
          </w:p>
        </w:tc>
        <w:tc>
          <w:tcPr>
            <w:tcW w:w="1985" w:type="dxa"/>
            <w:shd w:val="clear" w:color="auto" w:fill="FF6600"/>
          </w:tcPr>
          <w:p w14:paraId="265D2BA3" w14:textId="77777777" w:rsidR="00C30EB0" w:rsidRPr="008C389E" w:rsidRDefault="00C30EB0" w:rsidP="00C30EB0">
            <w:pPr>
              <w:spacing w:after="0"/>
              <w:rPr>
                <w:rFonts w:cstheme="minorHAnsi"/>
                <w:b/>
                <w:bCs/>
              </w:rPr>
            </w:pPr>
            <w:r w:rsidRPr="008C389E">
              <w:rPr>
                <w:rFonts w:cstheme="minorHAnsi"/>
                <w:b/>
                <w:bCs/>
              </w:rPr>
              <w:t>CARRIED OUT?</w:t>
            </w:r>
          </w:p>
          <w:p w14:paraId="6E16B3F5" w14:textId="137D5CA4" w:rsidR="001E7B64" w:rsidRPr="008C389E" w:rsidRDefault="001E7B64" w:rsidP="00C30EB0">
            <w:pPr>
              <w:spacing w:after="0"/>
              <w:rPr>
                <w:rFonts w:cstheme="minorHAnsi"/>
                <w:b/>
                <w:bCs/>
              </w:rPr>
            </w:pPr>
            <w:r w:rsidRPr="008C389E">
              <w:rPr>
                <w:rFonts w:cstheme="minorHAnsi"/>
                <w:b/>
                <w:bCs/>
              </w:rPr>
              <w:t xml:space="preserve">Insert Date </w:t>
            </w:r>
          </w:p>
        </w:tc>
        <w:tc>
          <w:tcPr>
            <w:tcW w:w="4048" w:type="dxa"/>
            <w:shd w:val="clear" w:color="auto" w:fill="FF6600"/>
          </w:tcPr>
          <w:p w14:paraId="7802A16E" w14:textId="77777777" w:rsidR="00C30EB0" w:rsidRPr="008C389E" w:rsidRDefault="00C30EB0" w:rsidP="00C30EB0">
            <w:pPr>
              <w:spacing w:after="0"/>
              <w:rPr>
                <w:rFonts w:cstheme="minorHAnsi"/>
                <w:b/>
                <w:bCs/>
              </w:rPr>
            </w:pPr>
            <w:r w:rsidRPr="008C389E">
              <w:rPr>
                <w:rFonts w:cstheme="minorHAnsi"/>
                <w:b/>
                <w:bCs/>
              </w:rPr>
              <w:t>REASON FOR NOT COMPLETING ACTION:</w:t>
            </w:r>
          </w:p>
        </w:tc>
      </w:tr>
      <w:tr w:rsidR="00C30EB0" w:rsidRPr="008C389E" w14:paraId="4E53C358" w14:textId="77777777" w:rsidTr="001E7B64">
        <w:trPr>
          <w:trHeight w:val="708"/>
        </w:trPr>
        <w:tc>
          <w:tcPr>
            <w:tcW w:w="3939" w:type="dxa"/>
          </w:tcPr>
          <w:p w14:paraId="1F580F6C" w14:textId="77777777" w:rsidR="00C30EB0" w:rsidRPr="008C389E" w:rsidRDefault="00C30EB0" w:rsidP="001E7B64">
            <w:pPr>
              <w:spacing w:after="0" w:line="240" w:lineRule="auto"/>
              <w:rPr>
                <w:rFonts w:cstheme="minorHAnsi"/>
              </w:rPr>
            </w:pPr>
          </w:p>
          <w:p w14:paraId="1054568A" w14:textId="77777777" w:rsidR="00C30EB0" w:rsidRPr="008C389E" w:rsidRDefault="00C30EB0" w:rsidP="001E7B64">
            <w:pPr>
              <w:spacing w:after="0" w:line="240" w:lineRule="auto"/>
              <w:rPr>
                <w:rFonts w:cstheme="minorHAnsi"/>
              </w:rPr>
            </w:pPr>
            <w:r w:rsidRPr="008C389E">
              <w:rPr>
                <w:rFonts w:cstheme="minorHAnsi"/>
              </w:rPr>
              <w:t>Carry out site visit</w:t>
            </w:r>
          </w:p>
          <w:p w14:paraId="0E88975F" w14:textId="77777777" w:rsidR="00C30EB0" w:rsidRPr="008C389E" w:rsidRDefault="00C30EB0" w:rsidP="001E7B64">
            <w:pPr>
              <w:spacing w:after="0" w:line="240" w:lineRule="auto"/>
              <w:rPr>
                <w:rFonts w:cstheme="minorHAnsi"/>
              </w:rPr>
            </w:pPr>
          </w:p>
        </w:tc>
        <w:tc>
          <w:tcPr>
            <w:tcW w:w="1985" w:type="dxa"/>
          </w:tcPr>
          <w:p w14:paraId="2923C392" w14:textId="77777777" w:rsidR="00C30EB0" w:rsidRPr="008C389E" w:rsidRDefault="00C30EB0" w:rsidP="001E7B64">
            <w:pPr>
              <w:spacing w:after="0" w:line="240" w:lineRule="auto"/>
              <w:rPr>
                <w:rFonts w:cstheme="minorHAnsi"/>
              </w:rPr>
            </w:pPr>
          </w:p>
        </w:tc>
        <w:tc>
          <w:tcPr>
            <w:tcW w:w="4048" w:type="dxa"/>
          </w:tcPr>
          <w:p w14:paraId="5C128A62" w14:textId="77777777" w:rsidR="00C30EB0" w:rsidRPr="008C389E" w:rsidRDefault="00C30EB0" w:rsidP="001E7B64">
            <w:pPr>
              <w:spacing w:after="0" w:line="240" w:lineRule="auto"/>
              <w:rPr>
                <w:rFonts w:cstheme="minorHAnsi"/>
              </w:rPr>
            </w:pPr>
          </w:p>
        </w:tc>
      </w:tr>
      <w:tr w:rsidR="00C30EB0" w:rsidRPr="008C389E" w14:paraId="49E0C74B" w14:textId="77777777" w:rsidTr="001E7B64">
        <w:trPr>
          <w:trHeight w:val="1019"/>
        </w:trPr>
        <w:tc>
          <w:tcPr>
            <w:tcW w:w="3939" w:type="dxa"/>
          </w:tcPr>
          <w:p w14:paraId="7E79D677" w14:textId="77777777" w:rsidR="00C30EB0" w:rsidRPr="008C389E" w:rsidRDefault="00C30EB0" w:rsidP="001E7B64">
            <w:pPr>
              <w:spacing w:after="0" w:line="240" w:lineRule="auto"/>
              <w:rPr>
                <w:rFonts w:cstheme="minorHAnsi"/>
              </w:rPr>
            </w:pPr>
          </w:p>
          <w:p w14:paraId="232588B8" w14:textId="77777777" w:rsidR="00C30EB0" w:rsidRPr="008C389E" w:rsidRDefault="00C30EB0" w:rsidP="001E7B64">
            <w:pPr>
              <w:spacing w:after="0" w:line="240" w:lineRule="auto"/>
              <w:rPr>
                <w:rFonts w:cstheme="minorHAnsi"/>
              </w:rPr>
            </w:pPr>
            <w:r w:rsidRPr="008C389E">
              <w:rPr>
                <w:rFonts w:cstheme="minorHAnsi"/>
              </w:rPr>
              <w:t>Notify applicant of PC meeting where application will be discussed</w:t>
            </w:r>
          </w:p>
          <w:p w14:paraId="71FACD7D" w14:textId="77777777" w:rsidR="00C30EB0" w:rsidRPr="008C389E" w:rsidRDefault="00C30EB0" w:rsidP="001E7B64">
            <w:pPr>
              <w:spacing w:after="0" w:line="240" w:lineRule="auto"/>
              <w:rPr>
                <w:rFonts w:cstheme="minorHAnsi"/>
              </w:rPr>
            </w:pPr>
          </w:p>
        </w:tc>
        <w:tc>
          <w:tcPr>
            <w:tcW w:w="1985" w:type="dxa"/>
          </w:tcPr>
          <w:p w14:paraId="3DAA1BA9" w14:textId="77777777" w:rsidR="00C30EB0" w:rsidRPr="008C389E" w:rsidRDefault="00C30EB0" w:rsidP="001E7B64">
            <w:pPr>
              <w:spacing w:after="0" w:line="240" w:lineRule="auto"/>
              <w:rPr>
                <w:rFonts w:cstheme="minorHAnsi"/>
              </w:rPr>
            </w:pPr>
          </w:p>
        </w:tc>
        <w:tc>
          <w:tcPr>
            <w:tcW w:w="4048" w:type="dxa"/>
          </w:tcPr>
          <w:p w14:paraId="41F407EC" w14:textId="77777777" w:rsidR="00C30EB0" w:rsidRPr="008C389E" w:rsidRDefault="00C30EB0" w:rsidP="001E7B64">
            <w:pPr>
              <w:spacing w:after="0" w:line="240" w:lineRule="auto"/>
              <w:rPr>
                <w:rFonts w:cstheme="minorHAnsi"/>
              </w:rPr>
            </w:pPr>
          </w:p>
        </w:tc>
      </w:tr>
      <w:tr w:rsidR="00C30EB0" w:rsidRPr="008C389E" w14:paraId="73A10C17" w14:textId="77777777" w:rsidTr="001E7B64">
        <w:trPr>
          <w:trHeight w:val="1034"/>
        </w:trPr>
        <w:tc>
          <w:tcPr>
            <w:tcW w:w="3939" w:type="dxa"/>
          </w:tcPr>
          <w:p w14:paraId="4F4A6AED" w14:textId="77777777" w:rsidR="00C30EB0" w:rsidRPr="008C389E" w:rsidRDefault="00C30EB0" w:rsidP="001E7B64">
            <w:pPr>
              <w:spacing w:after="0" w:line="240" w:lineRule="auto"/>
              <w:rPr>
                <w:rFonts w:cstheme="minorHAnsi"/>
              </w:rPr>
            </w:pPr>
          </w:p>
          <w:p w14:paraId="72849D3E" w14:textId="2BBF6BE4" w:rsidR="00C30EB0" w:rsidRPr="008C389E" w:rsidRDefault="00C30EB0" w:rsidP="001E7B64">
            <w:pPr>
              <w:spacing w:after="0" w:line="240" w:lineRule="auto"/>
              <w:rPr>
                <w:rFonts w:cstheme="minorHAnsi"/>
              </w:rPr>
            </w:pPr>
            <w:r w:rsidRPr="008C389E">
              <w:rPr>
                <w:rFonts w:cstheme="minorHAnsi"/>
              </w:rPr>
              <w:t>Ensure Ward Cllr present is present at meeting where application discussed</w:t>
            </w:r>
          </w:p>
        </w:tc>
        <w:tc>
          <w:tcPr>
            <w:tcW w:w="1985" w:type="dxa"/>
          </w:tcPr>
          <w:p w14:paraId="64914E07" w14:textId="77777777" w:rsidR="00C30EB0" w:rsidRPr="008C389E" w:rsidRDefault="00C30EB0" w:rsidP="001E7B64">
            <w:pPr>
              <w:spacing w:after="0" w:line="240" w:lineRule="auto"/>
              <w:rPr>
                <w:rFonts w:cstheme="minorHAnsi"/>
              </w:rPr>
            </w:pPr>
          </w:p>
        </w:tc>
        <w:tc>
          <w:tcPr>
            <w:tcW w:w="4048" w:type="dxa"/>
          </w:tcPr>
          <w:p w14:paraId="356B6226" w14:textId="77777777" w:rsidR="00C30EB0" w:rsidRPr="008C389E" w:rsidRDefault="00C30EB0" w:rsidP="001E7B64">
            <w:pPr>
              <w:spacing w:after="0" w:line="240" w:lineRule="auto"/>
              <w:rPr>
                <w:rFonts w:cstheme="minorHAnsi"/>
              </w:rPr>
            </w:pPr>
          </w:p>
        </w:tc>
      </w:tr>
      <w:tr w:rsidR="00C30EB0" w:rsidRPr="008C389E" w14:paraId="4F6C2BDD" w14:textId="77777777" w:rsidTr="001E7B64">
        <w:trPr>
          <w:trHeight w:val="1120"/>
        </w:trPr>
        <w:tc>
          <w:tcPr>
            <w:tcW w:w="3939" w:type="dxa"/>
          </w:tcPr>
          <w:p w14:paraId="0459C8B8" w14:textId="77777777" w:rsidR="00C30EB0" w:rsidRPr="008C389E" w:rsidRDefault="00C30EB0" w:rsidP="001E7B64">
            <w:pPr>
              <w:spacing w:after="0" w:line="240" w:lineRule="auto"/>
              <w:rPr>
                <w:rFonts w:cstheme="minorHAnsi"/>
              </w:rPr>
            </w:pPr>
          </w:p>
          <w:p w14:paraId="0375DFCA" w14:textId="77777777" w:rsidR="00C30EB0" w:rsidRPr="008C389E" w:rsidRDefault="00C30EB0" w:rsidP="001E7B64">
            <w:pPr>
              <w:spacing w:after="0" w:line="240" w:lineRule="auto"/>
              <w:rPr>
                <w:rFonts w:cstheme="minorHAnsi"/>
              </w:rPr>
            </w:pPr>
            <w:r w:rsidRPr="008C389E">
              <w:rPr>
                <w:rFonts w:cstheme="minorHAnsi"/>
              </w:rPr>
              <w:t>Notify applicant of PCs decision after discussion and vote at meeting</w:t>
            </w:r>
          </w:p>
        </w:tc>
        <w:tc>
          <w:tcPr>
            <w:tcW w:w="1985" w:type="dxa"/>
          </w:tcPr>
          <w:p w14:paraId="5C16EA8C" w14:textId="77777777" w:rsidR="00C30EB0" w:rsidRPr="008C389E" w:rsidRDefault="00C30EB0" w:rsidP="001E7B64">
            <w:pPr>
              <w:spacing w:after="0" w:line="240" w:lineRule="auto"/>
              <w:rPr>
                <w:rFonts w:cstheme="minorHAnsi"/>
              </w:rPr>
            </w:pPr>
          </w:p>
        </w:tc>
        <w:tc>
          <w:tcPr>
            <w:tcW w:w="4048" w:type="dxa"/>
          </w:tcPr>
          <w:p w14:paraId="7630F677" w14:textId="77777777" w:rsidR="00C30EB0" w:rsidRPr="008C389E" w:rsidRDefault="00C30EB0" w:rsidP="001E7B64">
            <w:pPr>
              <w:spacing w:after="0" w:line="240" w:lineRule="auto"/>
              <w:rPr>
                <w:rFonts w:cstheme="minorHAnsi"/>
              </w:rPr>
            </w:pPr>
          </w:p>
        </w:tc>
      </w:tr>
    </w:tbl>
    <w:p w14:paraId="03DBA836" w14:textId="7A79088A" w:rsidR="00C30EB0" w:rsidRDefault="00C30EB0" w:rsidP="00C30EB0">
      <w:pPr>
        <w:spacing w:after="0"/>
      </w:pPr>
    </w:p>
    <w:p w14:paraId="104991B1" w14:textId="7166FB01" w:rsidR="009A3C12" w:rsidRDefault="009A3C12" w:rsidP="00C30EB0">
      <w:pPr>
        <w:spacing w:after="0"/>
      </w:pPr>
    </w:p>
    <w:p w14:paraId="16B84F0D" w14:textId="77777777" w:rsidR="009A3C12" w:rsidRPr="00C30EB0" w:rsidRDefault="009A3C12" w:rsidP="00C30EB0">
      <w:pPr>
        <w:spacing w:after="0"/>
      </w:pPr>
    </w:p>
    <w:p w14:paraId="78559D5D" w14:textId="11FBFA6F" w:rsidR="002F1EAE" w:rsidRDefault="004E6D22" w:rsidP="00F90081">
      <w:pPr>
        <w:jc w:val="center"/>
      </w:pPr>
      <w:r>
        <w:rPr>
          <w:noProof/>
        </w:rPr>
        <w:drawing>
          <wp:inline distT="0" distB="0" distL="0" distR="0" wp14:anchorId="4FD61808" wp14:editId="23F3E466">
            <wp:extent cx="5086350" cy="3814763"/>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087579" cy="3815685"/>
                    </a:xfrm>
                    <a:prstGeom prst="rect">
                      <a:avLst/>
                    </a:prstGeom>
                  </pic:spPr>
                </pic:pic>
              </a:graphicData>
            </a:graphic>
          </wp:inline>
        </w:drawing>
      </w:r>
    </w:p>
    <w:p w14:paraId="0AC32A5A" w14:textId="3D7DF94F" w:rsidR="008C0021" w:rsidRDefault="008C0021"/>
    <w:p w14:paraId="28289693" w14:textId="38255547" w:rsidR="00DE2686" w:rsidRDefault="00DE2686"/>
    <w:sectPr w:rsidR="00DE2686" w:rsidSect="00522C8B">
      <w:pgSz w:w="11906" w:h="16838"/>
      <w:pgMar w:top="567"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8583" w14:textId="77777777" w:rsidR="00582203" w:rsidRDefault="00582203" w:rsidP="00522C8B">
      <w:pPr>
        <w:spacing w:after="0" w:line="240" w:lineRule="auto"/>
      </w:pPr>
      <w:r>
        <w:separator/>
      </w:r>
    </w:p>
  </w:endnote>
  <w:endnote w:type="continuationSeparator" w:id="0">
    <w:p w14:paraId="3F5F7430" w14:textId="77777777" w:rsidR="00582203" w:rsidRDefault="00582203" w:rsidP="0052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Times New Roman"/>
    <w:charset w:val="00"/>
    <w:family w:val="auto"/>
    <w:pitch w:val="variable"/>
    <w:sig w:usb0="A00002FF" w:usb1="5000205B" w:usb2="00000000" w:usb3="00000000" w:csb0="00000197"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71FE" w14:textId="77777777" w:rsidR="00582203" w:rsidRDefault="00582203" w:rsidP="00522C8B">
      <w:pPr>
        <w:spacing w:after="0" w:line="240" w:lineRule="auto"/>
      </w:pPr>
      <w:r>
        <w:separator/>
      </w:r>
    </w:p>
  </w:footnote>
  <w:footnote w:type="continuationSeparator" w:id="0">
    <w:p w14:paraId="790AD5E4" w14:textId="77777777" w:rsidR="00582203" w:rsidRDefault="00582203" w:rsidP="00522C8B">
      <w:pPr>
        <w:spacing w:after="0" w:line="240" w:lineRule="auto"/>
      </w:pPr>
      <w:r>
        <w:continuationSeparator/>
      </w:r>
    </w:p>
  </w:footnote>
  <w:footnote w:id="1">
    <w:p w14:paraId="71067E8B" w14:textId="6C4AA60B" w:rsidR="00D06414" w:rsidRPr="00D06414" w:rsidRDefault="00D06414">
      <w:pPr>
        <w:pStyle w:val="FootnoteText"/>
        <w:rPr>
          <w:lang w:val="en-GB"/>
        </w:rPr>
      </w:pPr>
      <w:r>
        <w:rPr>
          <w:rStyle w:val="FootnoteReference"/>
        </w:rPr>
        <w:footnoteRef/>
      </w:r>
      <w:r>
        <w:t xml:space="preserve"> </w:t>
      </w:r>
      <w:hyperlink r:id="rId1" w:history="1">
        <w:r w:rsidRPr="00D06414">
          <w:rPr>
            <w:rFonts w:asciiTheme="minorHAnsi" w:eastAsiaTheme="minorHAnsi" w:hAnsiTheme="minorHAnsi" w:cstheme="minorBidi"/>
            <w:color w:val="0000FF"/>
            <w:sz w:val="22"/>
            <w:szCs w:val="22"/>
            <w:u w:val="single"/>
            <w:lang w:val="en-GB"/>
          </w:rPr>
          <w:t>Yorkshire Wolds Designation Project (yorkshire-wolds-designation-project.org)</w:t>
        </w:r>
      </w:hyperlink>
    </w:p>
  </w:footnote>
  <w:footnote w:id="2">
    <w:p w14:paraId="0DE53577" w14:textId="77777777" w:rsidR="008C389E" w:rsidRPr="00337F2B" w:rsidRDefault="008C389E" w:rsidP="008C389E">
      <w:pPr>
        <w:spacing w:after="0" w:line="240" w:lineRule="auto"/>
        <w:rPr>
          <w:rFonts w:ascii="Arial" w:hAnsi="Arial"/>
        </w:rPr>
      </w:pPr>
      <w:r>
        <w:rPr>
          <w:rStyle w:val="FootnoteReference"/>
        </w:rPr>
        <w:footnoteRef/>
      </w:r>
      <w:r>
        <w:t xml:space="preserve"> </w:t>
      </w:r>
      <w:r w:rsidRPr="008C389E">
        <w:rPr>
          <w:rFonts w:cstheme="minorHAnsi"/>
          <w:sz w:val="16"/>
          <w:szCs w:val="16"/>
        </w:rPr>
        <w:t>ERNLLCA Newsletter of 21 Oct 21</w:t>
      </w:r>
    </w:p>
    <w:p w14:paraId="54B55576" w14:textId="2D40CF1A" w:rsidR="008C389E" w:rsidRPr="008C389E" w:rsidRDefault="008C389E">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49ED"/>
    <w:multiLevelType w:val="hybridMultilevel"/>
    <w:tmpl w:val="31E6C3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2E1A94"/>
    <w:multiLevelType w:val="hybridMultilevel"/>
    <w:tmpl w:val="86A883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547087">
    <w:abstractNumId w:val="0"/>
  </w:num>
  <w:num w:numId="2" w16cid:durableId="93108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E"/>
    <w:rsid w:val="0000689C"/>
    <w:rsid w:val="001E7B64"/>
    <w:rsid w:val="001F5940"/>
    <w:rsid w:val="002F1EAE"/>
    <w:rsid w:val="00301C35"/>
    <w:rsid w:val="00337F2B"/>
    <w:rsid w:val="003B4954"/>
    <w:rsid w:val="003B63AF"/>
    <w:rsid w:val="003C0D96"/>
    <w:rsid w:val="00424DCE"/>
    <w:rsid w:val="00484854"/>
    <w:rsid w:val="004A731C"/>
    <w:rsid w:val="004E4749"/>
    <w:rsid w:val="004E6D22"/>
    <w:rsid w:val="00522C8B"/>
    <w:rsid w:val="00582203"/>
    <w:rsid w:val="005D1B5E"/>
    <w:rsid w:val="00611577"/>
    <w:rsid w:val="00613299"/>
    <w:rsid w:val="0076307C"/>
    <w:rsid w:val="007F4B97"/>
    <w:rsid w:val="008C0021"/>
    <w:rsid w:val="008C389E"/>
    <w:rsid w:val="008C5F89"/>
    <w:rsid w:val="008E0487"/>
    <w:rsid w:val="008F00D0"/>
    <w:rsid w:val="00915B10"/>
    <w:rsid w:val="009A3C12"/>
    <w:rsid w:val="00A25524"/>
    <w:rsid w:val="00B810C5"/>
    <w:rsid w:val="00BB4923"/>
    <w:rsid w:val="00C30EB0"/>
    <w:rsid w:val="00D06414"/>
    <w:rsid w:val="00D11B28"/>
    <w:rsid w:val="00D57531"/>
    <w:rsid w:val="00DE2686"/>
    <w:rsid w:val="00E11DC5"/>
    <w:rsid w:val="00E217DA"/>
    <w:rsid w:val="00E222B4"/>
    <w:rsid w:val="00F63420"/>
    <w:rsid w:val="00F90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96AC"/>
  <w15:chartTrackingRefBased/>
  <w15:docId w15:val="{A931EFC7-7051-4AB1-9805-3F4EA783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522C8B"/>
    <w:pPr>
      <w:widowControl w:val="0"/>
      <w:pBdr>
        <w:top w:val="nil"/>
        <w:left w:val="nil"/>
        <w:bottom w:val="nil"/>
        <w:right w:val="nil"/>
        <w:between w:val="nil"/>
      </w:pBdr>
      <w:spacing w:before="480" w:after="120" w:line="240" w:lineRule="auto"/>
    </w:pPr>
    <w:rPr>
      <w:rFonts w:ascii="Raleway" w:eastAsia="Raleway" w:hAnsi="Raleway" w:cs="Raleway"/>
      <w:color w:val="43475B"/>
      <w:sz w:val="60"/>
      <w:szCs w:val="60"/>
      <w:lang w:val="uz-Cyrl-UZ"/>
    </w:rPr>
  </w:style>
  <w:style w:type="character" w:customStyle="1" w:styleId="TitleChar">
    <w:name w:val="Title Char"/>
    <w:basedOn w:val="DefaultParagraphFont"/>
    <w:link w:val="Title"/>
    <w:rsid w:val="00522C8B"/>
    <w:rPr>
      <w:rFonts w:ascii="Raleway" w:eastAsia="Raleway" w:hAnsi="Raleway" w:cs="Raleway"/>
      <w:color w:val="43475B"/>
      <w:sz w:val="60"/>
      <w:szCs w:val="60"/>
      <w:lang w:val="uz-Cyrl-UZ"/>
    </w:rPr>
  </w:style>
  <w:style w:type="paragraph" w:styleId="FootnoteText">
    <w:name w:val="footnote text"/>
    <w:basedOn w:val="Normal"/>
    <w:link w:val="FootnoteTextChar"/>
    <w:uiPriority w:val="99"/>
    <w:semiHidden/>
    <w:unhideWhenUsed/>
    <w:rsid w:val="00522C8B"/>
    <w:pPr>
      <w:widowControl w:val="0"/>
      <w:pBdr>
        <w:top w:val="nil"/>
        <w:left w:val="nil"/>
        <w:bottom w:val="nil"/>
        <w:right w:val="nil"/>
        <w:between w:val="nil"/>
      </w:pBdr>
      <w:spacing w:after="0" w:line="240" w:lineRule="auto"/>
    </w:pPr>
    <w:rPr>
      <w:rFonts w:ascii="Open Sans" w:eastAsia="Open Sans" w:hAnsi="Open Sans" w:cs="Open Sans"/>
      <w:color w:val="43475B"/>
      <w:sz w:val="20"/>
      <w:szCs w:val="20"/>
      <w:lang w:val="uz-Cyrl-UZ"/>
    </w:rPr>
  </w:style>
  <w:style w:type="character" w:customStyle="1" w:styleId="FootnoteTextChar">
    <w:name w:val="Footnote Text Char"/>
    <w:basedOn w:val="DefaultParagraphFont"/>
    <w:link w:val="FootnoteText"/>
    <w:uiPriority w:val="99"/>
    <w:semiHidden/>
    <w:rsid w:val="00522C8B"/>
    <w:rPr>
      <w:rFonts w:ascii="Open Sans" w:eastAsia="Open Sans" w:hAnsi="Open Sans" w:cs="Open Sans"/>
      <w:color w:val="43475B"/>
      <w:sz w:val="20"/>
      <w:szCs w:val="20"/>
      <w:lang w:val="uz-Cyrl-UZ"/>
    </w:rPr>
  </w:style>
  <w:style w:type="character" w:styleId="FootnoteReference">
    <w:name w:val="footnote reference"/>
    <w:basedOn w:val="DefaultParagraphFont"/>
    <w:uiPriority w:val="99"/>
    <w:semiHidden/>
    <w:unhideWhenUsed/>
    <w:rsid w:val="00522C8B"/>
    <w:rPr>
      <w:vertAlign w:val="superscript"/>
    </w:rPr>
  </w:style>
  <w:style w:type="character" w:styleId="Hyperlink">
    <w:name w:val="Hyperlink"/>
    <w:basedOn w:val="DefaultParagraphFont"/>
    <w:uiPriority w:val="99"/>
    <w:unhideWhenUsed/>
    <w:rsid w:val="00522C8B"/>
    <w:rPr>
      <w:color w:val="0563C1" w:themeColor="hyperlink"/>
      <w:u w:val="single"/>
    </w:rPr>
  </w:style>
  <w:style w:type="paragraph" w:styleId="ListParagraph">
    <w:name w:val="List Paragraph"/>
    <w:basedOn w:val="Normal"/>
    <w:uiPriority w:val="34"/>
    <w:qFormat/>
    <w:rsid w:val="00763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yorkshire-wolds-designation-project.or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66A99-2790-4EA1-964B-B691C49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Phillips (Regional Chair, North East England including Yorkshire and Humber)</dc:creator>
  <cp:keywords/>
  <dc:description/>
  <cp:lastModifiedBy>Samantha O'Connor</cp:lastModifiedBy>
  <cp:revision>2</cp:revision>
  <dcterms:created xsi:type="dcterms:W3CDTF">2022-11-16T10:36:00Z</dcterms:created>
  <dcterms:modified xsi:type="dcterms:W3CDTF">2022-11-16T10:36:00Z</dcterms:modified>
</cp:coreProperties>
</file>